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0FA0ED76">
      <w:pPr>
        <w:ind w:firstLine="643" w:firstLineChars="200"/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信息与通信工程</w:t>
      </w:r>
      <w:r>
        <w:rPr>
          <w:rFonts w:hint="eastAsia"/>
          <w:b/>
          <w:sz w:val="32"/>
        </w:rPr>
        <w:t>学位点建设年度报告（2</w:t>
      </w:r>
      <w:r>
        <w:rPr>
          <w:b/>
          <w:sz w:val="32"/>
        </w:rPr>
        <w:t>023</w:t>
      </w:r>
      <w:r>
        <w:rPr>
          <w:rFonts w:hint="eastAsia"/>
          <w:b/>
          <w:sz w:val="32"/>
        </w:rPr>
        <w:t>）</w:t>
      </w:r>
    </w:p>
    <w:p w14:paraId="7C68FC86">
      <w:pPr>
        <w:ind w:firstLine="562" w:firstLineChars="200"/>
        <w:rPr>
          <w:b/>
          <w:sz w:val="28"/>
        </w:rPr>
      </w:pPr>
    </w:p>
    <w:p w14:paraId="5A5EA02D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一、总体概况</w:t>
      </w:r>
    </w:p>
    <w:p w14:paraId="65A55B96">
      <w:pPr>
        <w:pStyle w:val="11"/>
        <w:adjustRightInd w:val="0"/>
        <w:snapToGrid w:val="0"/>
        <w:spacing w:line="360" w:lineRule="auto"/>
        <w:ind w:firstLine="480"/>
        <w:jc w:val="both"/>
      </w:pPr>
      <w:r>
        <w:rPr>
          <w:rFonts w:hint="eastAsia" w:asciiTheme="minorHAnsi" w:hAnsiTheme="minorHAnsi" w:eastAsiaTheme="minorEastAsia" w:cstheme="minorBidi"/>
          <w:kern w:val="2"/>
        </w:rPr>
        <w:t>华南农业大学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学科始建于</w:t>
      </w:r>
      <w:r>
        <w:rPr>
          <w:rFonts w:asciiTheme="minorHAnsi" w:hAnsiTheme="minorHAnsi" w:eastAsiaTheme="minorEastAsia" w:cstheme="minorBidi"/>
          <w:kern w:val="2"/>
        </w:rPr>
        <w:t>20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21</w:t>
      </w:r>
      <w:r>
        <w:rPr>
          <w:rFonts w:hint="eastAsia" w:asciiTheme="minorHAnsi" w:hAnsiTheme="minorHAnsi" w:eastAsiaTheme="minorEastAsia" w:cstheme="minorBidi"/>
          <w:kern w:val="2"/>
        </w:rPr>
        <w:t>年，20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23</w:t>
      </w:r>
      <w:r>
        <w:rPr>
          <w:rFonts w:hint="eastAsia" w:asciiTheme="minorHAnsi" w:hAnsiTheme="minorHAnsi" w:eastAsiaTheme="minorEastAsia" w:cstheme="minorBidi"/>
          <w:kern w:val="2"/>
        </w:rPr>
        <w:t>年实现首次招生。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硕士点依托电子工程学院（人工智能学院）、以及“国家精准农业航空施药技术国际联合研究中心”、广东省智慧农业工程技术中心、“广东省农情信息监测工程技术研究中心”等国家级和省部级平台，经过前期积累，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信息与通信工程</w:t>
      </w:r>
      <w:r>
        <w:rPr>
          <w:rFonts w:hint="eastAsia" w:asciiTheme="minorHAnsi" w:hAnsiTheme="minorHAnsi" w:eastAsiaTheme="minorEastAsia" w:cstheme="minorBidi"/>
          <w:kern w:val="2"/>
        </w:rPr>
        <w:t>学科建设取得了丰硕的成果，目前已经逐步形成信号与信息处理理论及应用、高端应用芯片及集成系统、图像与视频信息处理基础理论与关键技术、农业低空技术与农业物联网等，具有鲜明的新工科与新农科交叉融合特色。招生规模已扩大到年均入学10名左右学生。学科共有专业教师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21</w:t>
      </w:r>
      <w:r>
        <w:rPr>
          <w:rFonts w:asciiTheme="minorHAnsi" w:hAnsiTheme="minorHAnsi" w:eastAsiaTheme="minorEastAsia" w:cstheme="minorBidi"/>
          <w:kern w:val="2"/>
        </w:rPr>
        <w:t>人，其中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正高级教师（教授、正高级实验师）4</w:t>
      </w:r>
      <w:r>
        <w:rPr>
          <w:rFonts w:asciiTheme="minorHAnsi" w:hAnsiTheme="minorHAnsi" w:eastAsiaTheme="minorEastAsia" w:cstheme="minorBidi"/>
          <w:kern w:val="2"/>
        </w:rPr>
        <w:t>名、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副高级教师（副教授、高级实验师）</w:t>
      </w:r>
      <w:r>
        <w:rPr>
          <w:rFonts w:asciiTheme="minorHAnsi" w:hAnsiTheme="minorHAnsi" w:eastAsiaTheme="minorEastAsia" w:cstheme="minorBidi"/>
          <w:kern w:val="2"/>
        </w:rPr>
        <w:t>1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3</w:t>
      </w:r>
      <w:r>
        <w:rPr>
          <w:rFonts w:asciiTheme="minorHAnsi" w:hAnsiTheme="minorHAnsi" w:eastAsiaTheme="minorEastAsia" w:cstheme="minorBidi"/>
          <w:kern w:val="2"/>
        </w:rPr>
        <w:t>名、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中级教师（讲师）4</w:t>
      </w:r>
      <w:r>
        <w:rPr>
          <w:rFonts w:asciiTheme="minorHAnsi" w:hAnsiTheme="minorHAnsi" w:eastAsiaTheme="minorEastAsia" w:cstheme="minorBidi"/>
          <w:kern w:val="2"/>
        </w:rPr>
        <w:t>名</w:t>
      </w:r>
      <w:r>
        <w:rPr>
          <w:rFonts w:hint="eastAsia" w:asciiTheme="minorHAnsi" w:hAnsiTheme="minorHAnsi" w:eastAsiaTheme="minorEastAsia" w:cstheme="minorBidi"/>
          <w:kern w:val="2"/>
        </w:rPr>
        <w:t>，100%具有博士学位</w:t>
      </w:r>
      <w:r>
        <w:rPr>
          <w:rFonts w:hint="eastAsia" w:asciiTheme="minorHAnsi" w:hAnsiTheme="minorHAnsi" w:eastAsiaTheme="minorEastAsia" w:cstheme="minorBidi"/>
          <w:kern w:val="2"/>
          <w:lang w:eastAsia="zh-CN"/>
        </w:rPr>
        <w:t>，</w:t>
      </w:r>
      <w:r>
        <w:rPr>
          <w:rFonts w:asciiTheme="minorHAnsi" w:hAnsiTheme="minorHAnsi" w:eastAsiaTheme="minorEastAsia" w:cstheme="minorBidi"/>
          <w:kern w:val="2"/>
        </w:rPr>
        <w:t>包括</w:t>
      </w:r>
      <w:r>
        <w:rPr>
          <w:rFonts w:hint="eastAsia" w:asciiTheme="minorHAnsi" w:hAnsiTheme="minorHAnsi" w:eastAsiaTheme="minorEastAsia" w:cstheme="minorBidi"/>
          <w:kern w:val="2"/>
        </w:rPr>
        <w:t>欧洲科学、艺术与人文学院院士</w:t>
      </w:r>
      <w:r>
        <w:rPr>
          <w:rFonts w:asciiTheme="minorHAnsi" w:hAnsiTheme="minorHAnsi" w:eastAsiaTheme="minorEastAsia" w:cstheme="minorBidi"/>
          <w:kern w:val="2"/>
        </w:rPr>
        <w:t>1人、</w:t>
      </w:r>
      <w:r>
        <w:rPr>
          <w:rFonts w:hint="eastAsia" w:asciiTheme="minorHAnsi" w:hAnsiTheme="minorHAnsi" w:eastAsiaTheme="minorEastAsia" w:cstheme="minorBidi"/>
          <w:kern w:val="2"/>
        </w:rPr>
        <w:t>精准农业航空和国家重点人才工程特聘专家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1人、广州市科技新星1</w:t>
      </w:r>
      <w:r>
        <w:rPr>
          <w:rFonts w:asciiTheme="minorHAnsi" w:hAnsiTheme="minorHAnsi" w:eastAsiaTheme="minorEastAsia" w:cstheme="minorBidi"/>
          <w:kern w:val="2"/>
        </w:rPr>
        <w:t>人、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入选</w:t>
      </w:r>
      <w:r>
        <w:rPr>
          <w:rFonts w:hint="eastAsia" w:asciiTheme="minorHAnsi" w:hAnsiTheme="minorHAnsi" w:eastAsiaTheme="minorEastAsia" w:cstheme="minorBidi"/>
          <w:kern w:val="2"/>
        </w:rPr>
        <w:t>广东省优秀青年教师培养计划</w:t>
      </w:r>
      <w:r>
        <w:rPr>
          <w:rFonts w:hint="eastAsia" w:asciiTheme="minorHAnsi" w:hAnsiTheme="minorHAnsi" w:eastAsiaTheme="minorEastAsia" w:cstheme="minorBidi"/>
          <w:kern w:val="2"/>
          <w:lang w:val="en-US" w:eastAsia="zh-CN"/>
        </w:rPr>
        <w:t>1人，</w:t>
      </w:r>
      <w:r>
        <w:rPr>
          <w:rFonts w:hint="eastAsia"/>
        </w:rPr>
        <w:t>现有在聘博士生导师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本年度有3名教师晋升副高级职称</w:t>
      </w:r>
      <w:r>
        <w:rPr>
          <w:rFonts w:hint="eastAsia"/>
        </w:rPr>
        <w:t>。</w:t>
      </w:r>
      <w:bookmarkStart w:id="0" w:name="_GoBack"/>
      <w:bookmarkEnd w:id="0"/>
    </w:p>
    <w:p w14:paraId="288F0EA6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二、研究生党建和思想政治教育工作</w:t>
      </w:r>
    </w:p>
    <w:p w14:paraId="4912EF0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加强党的政治建设，扎实开展党史学习教育。各学生党支部以线上线下的形式开展学习贯彻党的</w:t>
      </w:r>
      <w:r>
        <w:rPr>
          <w:rFonts w:hint="eastAsia"/>
          <w:sz w:val="24"/>
          <w:szCs w:val="24"/>
          <w:lang w:val="en-US" w:eastAsia="zh-CN"/>
        </w:rPr>
        <w:t>重大会议</w:t>
      </w:r>
      <w:r>
        <w:rPr>
          <w:rFonts w:hint="eastAsia"/>
          <w:sz w:val="24"/>
          <w:szCs w:val="24"/>
        </w:rPr>
        <w:t>精神，弘扬伟大建党精神，以实际行动贯彻落实研究生党建和思想政治教育工作。</w:t>
      </w:r>
    </w:p>
    <w:p w14:paraId="301BA4C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2．落实“院领导进社区”制度。每学期学院班子和学科负责人深入学生社区，分别开展研究生座谈会，解决学生问题，落实党史学习教育“我为群众办实事”活动。</w:t>
      </w:r>
    </w:p>
    <w:p w14:paraId="2684B55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3．加强团员青年学习教育，学习贯彻党的</w:t>
      </w:r>
      <w:r>
        <w:rPr>
          <w:rFonts w:hint="eastAsia"/>
          <w:sz w:val="24"/>
          <w:szCs w:val="24"/>
          <w:lang w:val="en-US" w:eastAsia="zh-CN"/>
        </w:rPr>
        <w:t>重要会议</w:t>
      </w:r>
      <w:r>
        <w:rPr>
          <w:rFonts w:hint="eastAsia"/>
          <w:sz w:val="24"/>
          <w:szCs w:val="24"/>
        </w:rPr>
        <w:t>精神等，团委工作主抓“青年大学习”，强化团员青年学习考核制度，鼓励学生积极参学。</w:t>
      </w:r>
    </w:p>
    <w:p w14:paraId="399C54CE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三、研究生培养相关制度及执行情况</w:t>
      </w:r>
    </w:p>
    <w:p w14:paraId="4CC4A0E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学科认真贯彻落实研究生培养环节具体标准及考核要求，参照学校相关文件及时开展研究生开题报告、中期考核、文献阅读、学术交流等质量保障制度，加强研究生的过程培养规范，支持研究生参加国内重要的国内、国际会议，增加学生的交流机会，提升研究生培养质量。</w:t>
      </w:r>
    </w:p>
    <w:p w14:paraId="1E4914C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成立了师德专题教育领导小组，以定期组织专题集中学习、党员组织生活、师德教育讲座等形式，加强对导师和研究生的学术道德和学术规范教育，发挥研究生导师言传身教作用，培养研究生新生良好的学术品性，牢守科研诚信，夯实道德基石。</w:t>
      </w:r>
    </w:p>
    <w:p w14:paraId="1B26F3E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3、本学科利用导师培训、单周学习、党建活动等多种形式，发挥导师在研究生思政教育中“第一责任人”</w:t>
      </w:r>
      <w:r>
        <w:rPr>
          <w:rFonts w:hint="eastAsia"/>
          <w:sz w:val="24"/>
          <w:szCs w:val="24"/>
          <w:lang w:val="en-US" w:eastAsia="zh-CN"/>
        </w:rPr>
        <w:t>作用</w:t>
      </w:r>
      <w:r>
        <w:rPr>
          <w:rFonts w:hint="eastAsia"/>
          <w:sz w:val="24"/>
          <w:szCs w:val="24"/>
        </w:rPr>
        <w:t>，不定期地组织导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师参加工作交流、师生座谈会等活动，强化导师 “第一责任人”的主体意识，建立了导师与辅导员、班主任、教务员的联动工作机制，倡导良好的导学关系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了解研究生的思想、表现和课程学习情况。</w:t>
      </w:r>
    </w:p>
    <w:p w14:paraId="14F8A264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四、研究生教育改革</w:t>
      </w:r>
    </w:p>
    <w:p w14:paraId="42E9C49F">
      <w:pPr>
        <w:pStyle w:val="11"/>
        <w:adjustRightInd w:val="0"/>
        <w:snapToGrid w:val="0"/>
        <w:spacing w:line="360" w:lineRule="auto"/>
        <w:ind w:firstLine="48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Cs w:val="21"/>
        </w:rPr>
        <w:t>学位点不断进行课程教学改革，有计划地调整并优化教学内容，着重培养具有独立思考、独立工作能力的应用型创新人才；培养中注重强调</w:t>
      </w:r>
      <w:r>
        <w:rPr>
          <w:rFonts w:hint="eastAsia" w:cs="Times New Roman"/>
          <w:color w:val="000000"/>
          <w:lang w:val="en-US" w:eastAsia="zh-CN"/>
        </w:rPr>
        <w:t>信号及信息理论与智慧农业</w:t>
      </w:r>
      <w:r>
        <w:rPr>
          <w:rFonts w:cs="Times New Roman"/>
          <w:color w:val="000000"/>
        </w:rPr>
        <w:t>交叉融合的应用</w:t>
      </w:r>
      <w:r>
        <w:rPr>
          <w:rFonts w:hint="eastAsia" w:cs="Times New Roman"/>
          <w:color w:val="000000"/>
        </w:rPr>
        <w:t>相结合的</w:t>
      </w:r>
      <w:r>
        <w:rPr>
          <w:rFonts w:cs="Times New Roman"/>
          <w:color w:val="000000"/>
        </w:rPr>
        <w:t>模式</w:t>
      </w:r>
      <w:r>
        <w:rPr>
          <w:rFonts w:hint="eastAsia" w:cs="Times New Roman"/>
          <w:color w:val="000000"/>
        </w:rPr>
        <w:t>，面向</w:t>
      </w:r>
      <w:r>
        <w:rPr>
          <w:rFonts w:hint="eastAsia" w:cs="Times New Roman"/>
          <w:color w:val="000000"/>
          <w:lang w:val="en-US" w:eastAsia="zh-CN"/>
        </w:rPr>
        <w:t>粤港澳</w:t>
      </w:r>
      <w:r>
        <w:rPr>
          <w:rFonts w:hint="eastAsia" w:cs="Times New Roman"/>
          <w:color w:val="000000"/>
        </w:rPr>
        <w:t>大湾区的经济发展输送优秀人才；课程建设方面，采用团队授课和团队指导模式，利用教师的学科特长及不同科研方向，扩大学生的知识面，为学生的综合发展提供有利土壤。</w:t>
      </w:r>
    </w:p>
    <w:p w14:paraId="2CA67CE5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五、教育质量评估与分析</w:t>
      </w:r>
    </w:p>
    <w:p w14:paraId="3CCAA04B"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本年度本学科在研究生培养过程中未出现教学事故和学术不端行为。规范学位论文开题报告、中期考核等环节，提高教学质量。2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023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研究生招生人数为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其中1人为推荐免试研究生，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生源质量整体在逐步提升中。2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023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本学科点研究生获得国家奖学金2万元、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国家助学金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2.4万元、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学业奖学金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5万元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 w14:paraId="3D851859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六、改进措施</w:t>
      </w:r>
    </w:p>
    <w:p w14:paraId="6BADD3CA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人才培养和学科自身的综合性发展等方面还需进一步深化，要着力培养学科的核心竞争力；从生源质量、师资队伍等各方面集中发力，培养学科特色专业及优势；做好招生宣传工作，吸引优质生源，扩大研究生培养规模；进一步引进人才，并提高教师队伍中的高级职称人员比例。</w:t>
      </w:r>
    </w:p>
    <w:p w14:paraId="56283F92">
      <w:pPr>
        <w:spacing w:line="360" w:lineRule="auto"/>
        <w:ind w:firstLine="560" w:firstLineChars="200"/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2D"/>
    <w:rsid w:val="0000398C"/>
    <w:rsid w:val="00041545"/>
    <w:rsid w:val="00065171"/>
    <w:rsid w:val="001352B2"/>
    <w:rsid w:val="001C60D4"/>
    <w:rsid w:val="002310FD"/>
    <w:rsid w:val="00242B0F"/>
    <w:rsid w:val="00294B82"/>
    <w:rsid w:val="002C0A47"/>
    <w:rsid w:val="002F5FB8"/>
    <w:rsid w:val="00330CA6"/>
    <w:rsid w:val="003B7F54"/>
    <w:rsid w:val="003E11ED"/>
    <w:rsid w:val="003F5DB3"/>
    <w:rsid w:val="00416A01"/>
    <w:rsid w:val="004269CA"/>
    <w:rsid w:val="004E3376"/>
    <w:rsid w:val="004F076C"/>
    <w:rsid w:val="004F56C3"/>
    <w:rsid w:val="00520BEB"/>
    <w:rsid w:val="00537EF7"/>
    <w:rsid w:val="00552B91"/>
    <w:rsid w:val="00556FEE"/>
    <w:rsid w:val="005B1369"/>
    <w:rsid w:val="005E42F7"/>
    <w:rsid w:val="00661C5D"/>
    <w:rsid w:val="00692F05"/>
    <w:rsid w:val="006B06A5"/>
    <w:rsid w:val="007751B1"/>
    <w:rsid w:val="00823C39"/>
    <w:rsid w:val="00826286"/>
    <w:rsid w:val="0084037A"/>
    <w:rsid w:val="008D7BBC"/>
    <w:rsid w:val="008E2FE5"/>
    <w:rsid w:val="009053A0"/>
    <w:rsid w:val="00907985"/>
    <w:rsid w:val="009418A8"/>
    <w:rsid w:val="009A1ED4"/>
    <w:rsid w:val="00A52545"/>
    <w:rsid w:val="00AA5B05"/>
    <w:rsid w:val="00B75CDE"/>
    <w:rsid w:val="00BC4461"/>
    <w:rsid w:val="00BF27E2"/>
    <w:rsid w:val="00BF4939"/>
    <w:rsid w:val="00C41D47"/>
    <w:rsid w:val="00C65512"/>
    <w:rsid w:val="00C67B20"/>
    <w:rsid w:val="00C72156"/>
    <w:rsid w:val="00CD21E5"/>
    <w:rsid w:val="00CF0578"/>
    <w:rsid w:val="00CF212C"/>
    <w:rsid w:val="00D434D5"/>
    <w:rsid w:val="00DC31F3"/>
    <w:rsid w:val="00DF0B2D"/>
    <w:rsid w:val="00EA3D92"/>
    <w:rsid w:val="00EB23E5"/>
    <w:rsid w:val="00ED68C3"/>
    <w:rsid w:val="00EF7A15"/>
    <w:rsid w:val="00F42BF0"/>
    <w:rsid w:val="00F5797B"/>
    <w:rsid w:val="00F619FD"/>
    <w:rsid w:val="00F82572"/>
    <w:rsid w:val="00F95F5C"/>
    <w:rsid w:val="00FA2668"/>
    <w:rsid w:val="00FB4C36"/>
    <w:rsid w:val="0C5D2044"/>
    <w:rsid w:val="0DAB2C9D"/>
    <w:rsid w:val="12AE505A"/>
    <w:rsid w:val="1F0F1C5A"/>
    <w:rsid w:val="214B31BA"/>
    <w:rsid w:val="28161FF5"/>
    <w:rsid w:val="2E0F658B"/>
    <w:rsid w:val="34F435FB"/>
    <w:rsid w:val="370B2796"/>
    <w:rsid w:val="455C6901"/>
    <w:rsid w:val="465A556B"/>
    <w:rsid w:val="5C8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507-0297-4456-AD19-B6D14527F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1528</Words>
  <Characters>1554</Characters>
  <Lines>9</Lines>
  <Paragraphs>2</Paragraphs>
  <TotalTime>1</TotalTime>
  <ScaleCrop>false</ScaleCrop>
  <LinksUpToDate>false</LinksUpToDate>
  <CharactersWithSpaces>1558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2023-10-17T13:07:00Z</dcterms:created>
  <dc:creator>邹楠</dc:creator>
  <cp:lastModifiedBy>lianghm</cp:lastModifiedBy>
  <dcterms:modified xsi:type="dcterms:W3CDTF">2025-02-20T02:26:12Z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197D03FDD1B44908A3DAD8C16A8B3F54_13</vt:lpwstr>
  </property>
  <property fmtid="{D5CDD505-2E9C-101B-9397-08002B2CF9AE}" pid="4" name="KSOTemplateDocerSaveRecord">
    <vt:lpwstr>eyJoZGlkIjoiNzRiNDcxZjg0ODg1ZDlkM2ExMWVkZmQ5YWEyNjNmOTgifQ==</vt:lpwstr>
  </property>
</Properties>
</file>